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认定的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深圳市中小企业公共服务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示范平台名单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8798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50"/>
        <w:gridCol w:w="3659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申报单位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平台名称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平台类型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市电子商会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深圳市中小企业公共服务（电子信息产业）窗口服务平台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深圳产学研合作促进会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深圳产学研合作促进会综合信息服务平台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深圳前瞻资讯股份有限公司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产业大数据智慧云公共服务平台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深圳中力企业管理顾问有限公司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深圳中力产业创新公共服务平台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深圳市智慧安防行业协会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安防行业综合信息服务平台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深圳市中检联检测有限公司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食品质量安全与环境分析检验检测技术支撑公共示范平台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深圳市太科检测有限公司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工业建筑与材料产品质量检验与评价中小企业公共服务平台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深圳市虹彩检测技术有限公司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产品质量测试及工业环境污染检测综合服务平台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深圳市八六三新材料技术有限责任公司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新材料应用公共技术服务平台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技术支撑服务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阿里巴巴（深圳）技术有限公司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阿里巴巴深圳信息化应用服务平台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中山大学深圳研究院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深圳中小企业创新孵化服务平台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创业创新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帮扶服务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深圳市投资基金同业公会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信汇投融资信息服务平台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融资服务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B365B"/>
    <w:rsid w:val="001F1940"/>
    <w:rsid w:val="017B4490"/>
    <w:rsid w:val="024E0455"/>
    <w:rsid w:val="060F6BEF"/>
    <w:rsid w:val="07B97175"/>
    <w:rsid w:val="0D685076"/>
    <w:rsid w:val="0EC94E8D"/>
    <w:rsid w:val="10756626"/>
    <w:rsid w:val="10FE3409"/>
    <w:rsid w:val="175508B4"/>
    <w:rsid w:val="26C61C21"/>
    <w:rsid w:val="297B524F"/>
    <w:rsid w:val="2A9437D9"/>
    <w:rsid w:val="2D001B69"/>
    <w:rsid w:val="2DA153BC"/>
    <w:rsid w:val="2E9C4065"/>
    <w:rsid w:val="313B365B"/>
    <w:rsid w:val="33F66C3C"/>
    <w:rsid w:val="36A060EB"/>
    <w:rsid w:val="382A776F"/>
    <w:rsid w:val="3ACE75A3"/>
    <w:rsid w:val="3B7E4504"/>
    <w:rsid w:val="3C175111"/>
    <w:rsid w:val="3E9433AA"/>
    <w:rsid w:val="3FA81D55"/>
    <w:rsid w:val="41176348"/>
    <w:rsid w:val="416C430A"/>
    <w:rsid w:val="42BF4C66"/>
    <w:rsid w:val="4351280F"/>
    <w:rsid w:val="47F2743E"/>
    <w:rsid w:val="499F17F2"/>
    <w:rsid w:val="4D342C12"/>
    <w:rsid w:val="4E662759"/>
    <w:rsid w:val="4EE12E62"/>
    <w:rsid w:val="4F1C06B9"/>
    <w:rsid w:val="50BF0B64"/>
    <w:rsid w:val="55CC5E39"/>
    <w:rsid w:val="589A7C42"/>
    <w:rsid w:val="5E054C80"/>
    <w:rsid w:val="60EE6CB2"/>
    <w:rsid w:val="62704275"/>
    <w:rsid w:val="65917677"/>
    <w:rsid w:val="659513A3"/>
    <w:rsid w:val="6D2519E1"/>
    <w:rsid w:val="6DA06CC0"/>
    <w:rsid w:val="6DC47B9C"/>
    <w:rsid w:val="6DDF3C48"/>
    <w:rsid w:val="748669D5"/>
    <w:rsid w:val="78B76DF4"/>
    <w:rsid w:val="7B7A5881"/>
    <w:rsid w:val="7E1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宋体" w:hAnsi="宋体" w:eastAsia="方正小标宋简体" w:cs="Times New Roman"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240" w:lineRule="auto"/>
      <w:ind w:left="0" w:leftChars="0" w:firstLine="880" w:firstLineChars="200"/>
      <w:outlineLvl w:val="1"/>
    </w:pPr>
    <w:rPr>
      <w:rFonts w:ascii="Arial" w:hAnsi="Arial" w:eastAsia="楷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880" w:firstLineChars="200"/>
      <w:outlineLvl w:val="2"/>
    </w:pPr>
    <w:rPr>
      <w:rFonts w:ascii="Calibri" w:hAnsi="Calibri" w:cs="Times New Roman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jc w:val="center"/>
      <w:outlineLvl w:val="3"/>
    </w:pPr>
    <w:rPr>
      <w:rFonts w:ascii="Arial" w:hAnsi="Arial" w:eastAsia="方正小标宋简体" w:cs="Times New Roman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2022-09-30T01:19:00Z</dcterms:created>
  <dc:creator>综合处_汪效斌</dc:creator>
  <cp:lastModifiedBy>综合处_汪效斌</cp:lastModifiedBy>
  <dcterms:modified xsi:type="dcterms:W3CDTF">2022-09-30T01:20:21Z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