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下载电子证书流程如下（建议使用谷歌浏览器或360极速浏览器）：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第一步：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登录智慧中小企业服务平台（网址：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instrText xml:space="preserve"> HYPERLINK "https://szsme.zxqyj.sz.gov.cn/zhzxqyj/home/#/wit-home-page/wit-home，账号密码与广东省政务服务网登录账号密码一致）" </w:instrTex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https://szsme.zxqyj.sz.gov.cn/zhzxqyj/home/#/wit-home-page/wit-home，账号密码与广东省政务服务网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企业法人或经办人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登录账号密码一致）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</w:pPr>
      <w:r>
        <w:drawing>
          <wp:inline distT="0" distB="0" distL="114300" distR="114300">
            <wp:extent cx="3303270" cy="21628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20" w:firstLineChars="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Hans" w:bidi="ar-SA"/>
        </w:rPr>
        <w:t>第二步：选择“专精特新”栏目菜单；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/>
          <w:lang w:eastAsia="zh-Hans"/>
        </w:rPr>
      </w:pPr>
      <w:r>
        <w:drawing>
          <wp:inline distT="0" distB="0" distL="114300" distR="114300">
            <wp:extent cx="3325495" cy="7429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2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20"/>
          <w:sz w:val="24"/>
          <w:szCs w:val="24"/>
          <w:u w:val="none"/>
          <w:lang w:eastAsia="zh-Han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Hans" w:bidi="ar-SA"/>
        </w:rPr>
        <w:t>第三步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Hans" w:bidi="ar-SA"/>
        </w:rPr>
        <w:t>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Hans" w:bidi="ar-SA"/>
        </w:rPr>
        <w:t>点击“企业证书下载”即可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222222"/>
          <w:spacing w:val="20"/>
          <w:sz w:val="24"/>
          <w:szCs w:val="24"/>
          <w:u w:val="none"/>
          <w:lang w:eastAsia="zh-Hans"/>
        </w:rPr>
      </w:pPr>
      <w:r>
        <w:drawing>
          <wp:inline distT="0" distB="0" distL="114300" distR="114300">
            <wp:extent cx="3255645" cy="1858645"/>
            <wp:effectExtent l="0" t="0" r="19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2EFB"/>
    <w:rsid w:val="625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2022-09-08T03:58:00Z</dcterms:created>
  <dc:creator>Administrator</dc:creator>
  <cp:lastModifiedBy>创新处_梁剑威</cp:lastModifiedBy>
  <dcterms:modified xsi:type="dcterms:W3CDTF">2022-09-08T08:38:00Z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